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028B" w14:textId="77777777" w:rsidR="009418A6" w:rsidRPr="001827E9" w:rsidRDefault="003E028A" w:rsidP="003E028A">
      <w:pPr>
        <w:jc w:val="center"/>
        <w:rPr>
          <w:rFonts w:ascii="Arial" w:hAnsi="Arial" w:cs="Arial"/>
          <w:b/>
          <w:sz w:val="24"/>
          <w:szCs w:val="24"/>
        </w:rPr>
      </w:pPr>
      <w:r w:rsidRPr="001827E9">
        <w:rPr>
          <w:rFonts w:ascii="Arial" w:hAnsi="Arial" w:cs="Arial"/>
          <w:b/>
          <w:sz w:val="24"/>
          <w:szCs w:val="24"/>
        </w:rPr>
        <w:t>SOUTHERN AFRICAN HISTORICAL SOCIETY</w:t>
      </w:r>
    </w:p>
    <w:p w14:paraId="03EB826A" w14:textId="42EAC666" w:rsidR="003E028A" w:rsidRPr="001827E9" w:rsidRDefault="003E028A" w:rsidP="003E028A">
      <w:pPr>
        <w:jc w:val="center"/>
        <w:rPr>
          <w:rFonts w:ascii="Arial" w:hAnsi="Arial" w:cs="Arial"/>
          <w:b/>
          <w:sz w:val="24"/>
          <w:szCs w:val="24"/>
        </w:rPr>
      </w:pPr>
      <w:r w:rsidRPr="001827E9">
        <w:rPr>
          <w:rFonts w:ascii="Arial" w:hAnsi="Arial" w:cs="Arial"/>
          <w:b/>
          <w:sz w:val="24"/>
          <w:szCs w:val="24"/>
        </w:rPr>
        <w:t>TREASURER`S REPORT: 1</w:t>
      </w:r>
      <w:r w:rsidR="001827E9">
        <w:rPr>
          <w:rFonts w:ascii="Arial" w:hAnsi="Arial" w:cs="Arial"/>
          <w:b/>
          <w:sz w:val="24"/>
          <w:szCs w:val="24"/>
        </w:rPr>
        <w:t xml:space="preserve"> </w:t>
      </w:r>
      <w:r w:rsidR="006749CF">
        <w:rPr>
          <w:rFonts w:ascii="Arial" w:hAnsi="Arial" w:cs="Arial"/>
          <w:b/>
          <w:sz w:val="24"/>
          <w:szCs w:val="24"/>
        </w:rPr>
        <w:t>JAN 20</w:t>
      </w:r>
      <w:r w:rsidR="007A1248">
        <w:rPr>
          <w:rFonts w:ascii="Arial" w:hAnsi="Arial" w:cs="Arial"/>
          <w:b/>
          <w:sz w:val="24"/>
          <w:szCs w:val="24"/>
        </w:rPr>
        <w:t>21</w:t>
      </w:r>
      <w:r w:rsidR="00A4754D">
        <w:rPr>
          <w:rFonts w:ascii="Arial" w:hAnsi="Arial" w:cs="Arial"/>
          <w:b/>
          <w:sz w:val="24"/>
          <w:szCs w:val="24"/>
        </w:rPr>
        <w:t xml:space="preserve"> – 31 DEC 20</w:t>
      </w:r>
      <w:r w:rsidR="007A1248">
        <w:rPr>
          <w:rFonts w:ascii="Arial" w:hAnsi="Arial" w:cs="Arial"/>
          <w:b/>
          <w:sz w:val="24"/>
          <w:szCs w:val="24"/>
        </w:rPr>
        <w:t>21</w:t>
      </w:r>
    </w:p>
    <w:p w14:paraId="7CF6CFE8" w14:textId="77777777" w:rsidR="00262279" w:rsidRPr="00F07DB1" w:rsidRDefault="003E028A" w:rsidP="00F07D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827E9">
        <w:rPr>
          <w:rFonts w:ascii="Arial" w:hAnsi="Arial" w:cs="Arial"/>
          <w:b/>
          <w:sz w:val="24"/>
          <w:szCs w:val="24"/>
        </w:rPr>
        <w:t>Financial Performance</w:t>
      </w:r>
      <w:r w:rsidR="00F07DB1">
        <w:rPr>
          <w:rFonts w:ascii="Arial" w:hAnsi="Arial" w:cs="Arial"/>
          <w:b/>
          <w:sz w:val="24"/>
          <w:szCs w:val="24"/>
        </w:rPr>
        <w:t xml:space="preserve"> executive summary</w:t>
      </w:r>
    </w:p>
    <w:p w14:paraId="2392E85A" w14:textId="6B8FDB23" w:rsidR="00A95485" w:rsidRDefault="00F07DB1" w:rsidP="003E028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650E8E" w:rsidRPr="00D146FD">
        <w:rPr>
          <w:rFonts w:ascii="Arial" w:hAnsi="Arial" w:cs="Arial"/>
          <w:b/>
          <w:sz w:val="24"/>
          <w:szCs w:val="24"/>
        </w:rPr>
        <w:t>nco</w:t>
      </w:r>
      <w:r w:rsidR="00A95485" w:rsidRPr="00D146FD">
        <w:rPr>
          <w:rFonts w:ascii="Arial" w:hAnsi="Arial" w:cs="Arial"/>
          <w:b/>
          <w:sz w:val="24"/>
          <w:szCs w:val="24"/>
        </w:rPr>
        <w:t>me</w:t>
      </w:r>
      <w:r w:rsidR="00A95485">
        <w:rPr>
          <w:rFonts w:ascii="Arial" w:hAnsi="Arial" w:cs="Arial"/>
          <w:sz w:val="24"/>
          <w:szCs w:val="24"/>
        </w:rPr>
        <w:t xml:space="preserve"> </w:t>
      </w:r>
      <w:r w:rsidR="00F729A0">
        <w:rPr>
          <w:rFonts w:ascii="Arial" w:hAnsi="Arial" w:cs="Arial"/>
          <w:sz w:val="24"/>
          <w:szCs w:val="24"/>
        </w:rPr>
        <w:t>was</w:t>
      </w:r>
      <w:r w:rsidR="00A95485">
        <w:rPr>
          <w:rFonts w:ascii="Arial" w:hAnsi="Arial" w:cs="Arial"/>
          <w:sz w:val="24"/>
          <w:szCs w:val="24"/>
        </w:rPr>
        <w:t>:</w:t>
      </w:r>
    </w:p>
    <w:p w14:paraId="55E87BEB" w14:textId="5E7C5FD6" w:rsidR="00A95485" w:rsidRDefault="001827E9" w:rsidP="00A9548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690">
        <w:rPr>
          <w:rFonts w:ascii="Arial" w:hAnsi="Arial" w:cs="Arial"/>
          <w:sz w:val="24"/>
          <w:szCs w:val="24"/>
        </w:rPr>
        <w:t>ubscription fees:</w:t>
      </w:r>
      <w:r w:rsidR="006749CF">
        <w:rPr>
          <w:rFonts w:ascii="Arial" w:hAnsi="Arial" w:cs="Arial"/>
          <w:sz w:val="24"/>
          <w:szCs w:val="24"/>
        </w:rPr>
        <w:t xml:space="preserve"> </w:t>
      </w:r>
      <w:r w:rsidR="00A4754D">
        <w:rPr>
          <w:rFonts w:ascii="Arial" w:hAnsi="Arial" w:cs="Arial"/>
          <w:sz w:val="24"/>
          <w:szCs w:val="24"/>
        </w:rPr>
        <w:t>R</w:t>
      </w:r>
      <w:r w:rsidR="007A1248">
        <w:rPr>
          <w:rFonts w:ascii="Arial" w:hAnsi="Arial" w:cs="Arial"/>
          <w:sz w:val="24"/>
          <w:szCs w:val="24"/>
        </w:rPr>
        <w:t>31 246</w:t>
      </w:r>
      <w:r w:rsidR="00A4754D">
        <w:rPr>
          <w:rFonts w:ascii="Arial" w:hAnsi="Arial" w:cs="Arial"/>
          <w:sz w:val="24"/>
          <w:szCs w:val="24"/>
        </w:rPr>
        <w:t xml:space="preserve"> (201</w:t>
      </w:r>
      <w:r w:rsidR="007A1248">
        <w:rPr>
          <w:rFonts w:ascii="Arial" w:hAnsi="Arial" w:cs="Arial"/>
          <w:sz w:val="24"/>
          <w:szCs w:val="24"/>
        </w:rPr>
        <w:t>8</w:t>
      </w:r>
      <w:r w:rsidR="00A4754D">
        <w:rPr>
          <w:rFonts w:ascii="Arial" w:hAnsi="Arial" w:cs="Arial"/>
          <w:sz w:val="24"/>
          <w:szCs w:val="24"/>
        </w:rPr>
        <w:t xml:space="preserve">: </w:t>
      </w:r>
      <w:r w:rsidR="00F07DB1">
        <w:rPr>
          <w:rFonts w:ascii="Arial" w:hAnsi="Arial" w:cs="Arial"/>
          <w:sz w:val="24"/>
          <w:szCs w:val="24"/>
        </w:rPr>
        <w:t>R</w:t>
      </w:r>
      <w:r w:rsidR="007A1248">
        <w:rPr>
          <w:rFonts w:ascii="Arial" w:hAnsi="Arial" w:cs="Arial"/>
          <w:sz w:val="24"/>
          <w:szCs w:val="24"/>
        </w:rPr>
        <w:t>14 368</w:t>
      </w:r>
      <w:r w:rsidR="00A4754D">
        <w:rPr>
          <w:rFonts w:ascii="Arial" w:hAnsi="Arial" w:cs="Arial"/>
          <w:sz w:val="24"/>
          <w:szCs w:val="24"/>
        </w:rPr>
        <w:t>)</w:t>
      </w:r>
    </w:p>
    <w:p w14:paraId="52E6BB30" w14:textId="059B3EE1" w:rsidR="00A95485" w:rsidRDefault="006749CF" w:rsidP="00A9548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DALRO royalties: </w:t>
      </w:r>
      <w:r w:rsidR="00A4754D">
        <w:rPr>
          <w:rFonts w:ascii="Arial" w:hAnsi="Arial" w:cs="Arial"/>
          <w:sz w:val="24"/>
          <w:szCs w:val="24"/>
        </w:rPr>
        <w:t>R</w:t>
      </w:r>
      <w:r w:rsidR="00F7766E">
        <w:rPr>
          <w:rFonts w:ascii="Arial" w:hAnsi="Arial" w:cs="Arial"/>
          <w:sz w:val="24"/>
          <w:szCs w:val="24"/>
        </w:rPr>
        <w:t>6 245</w:t>
      </w:r>
      <w:r w:rsidR="00A4754D">
        <w:rPr>
          <w:rFonts w:ascii="Arial" w:hAnsi="Arial" w:cs="Arial"/>
          <w:sz w:val="24"/>
          <w:szCs w:val="24"/>
        </w:rPr>
        <w:t xml:space="preserve"> (201</w:t>
      </w:r>
      <w:r w:rsidR="00F7766E">
        <w:rPr>
          <w:rFonts w:ascii="Arial" w:hAnsi="Arial" w:cs="Arial"/>
          <w:sz w:val="24"/>
          <w:szCs w:val="24"/>
        </w:rPr>
        <w:t>8</w:t>
      </w:r>
      <w:r w:rsidR="00A4754D">
        <w:rPr>
          <w:rFonts w:ascii="Arial" w:hAnsi="Arial" w:cs="Arial"/>
          <w:sz w:val="24"/>
          <w:szCs w:val="24"/>
        </w:rPr>
        <w:t xml:space="preserve">: </w:t>
      </w:r>
      <w:r w:rsidR="00F07DB1">
        <w:rPr>
          <w:rFonts w:ascii="Arial" w:hAnsi="Arial" w:cs="Arial"/>
          <w:sz w:val="24"/>
          <w:szCs w:val="24"/>
        </w:rPr>
        <w:t xml:space="preserve">R </w:t>
      </w:r>
      <w:r w:rsidR="00F7766E">
        <w:rPr>
          <w:rFonts w:ascii="Arial" w:hAnsi="Arial" w:cs="Arial"/>
          <w:sz w:val="24"/>
          <w:szCs w:val="24"/>
        </w:rPr>
        <w:t>25 900</w:t>
      </w:r>
      <w:r w:rsidR="00A4754D">
        <w:rPr>
          <w:rFonts w:ascii="Arial" w:hAnsi="Arial" w:cs="Arial"/>
          <w:sz w:val="24"/>
          <w:szCs w:val="24"/>
        </w:rPr>
        <w:t>)</w:t>
      </w:r>
    </w:p>
    <w:p w14:paraId="78A811F3" w14:textId="58B347B2" w:rsidR="00356690" w:rsidRPr="00D342BE" w:rsidRDefault="00356690" w:rsidP="00D342B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Taylor </w:t>
      </w:r>
      <w:r w:rsidR="00D342BE">
        <w:rPr>
          <w:rFonts w:ascii="Arial" w:hAnsi="Arial" w:cs="Arial"/>
          <w:sz w:val="24"/>
          <w:szCs w:val="24"/>
        </w:rPr>
        <w:t xml:space="preserve">&amp; Francis royalties:  </w:t>
      </w:r>
      <w:r w:rsidR="00A4754D">
        <w:rPr>
          <w:rFonts w:ascii="Arial" w:hAnsi="Arial" w:cs="Arial"/>
          <w:sz w:val="24"/>
          <w:szCs w:val="24"/>
        </w:rPr>
        <w:t>R</w:t>
      </w:r>
      <w:r w:rsidR="00483435">
        <w:rPr>
          <w:rFonts w:ascii="Arial" w:hAnsi="Arial" w:cs="Arial"/>
          <w:sz w:val="24"/>
          <w:szCs w:val="24"/>
        </w:rPr>
        <w:t xml:space="preserve"> 220 999</w:t>
      </w:r>
      <w:r w:rsidR="00A4754D">
        <w:rPr>
          <w:rFonts w:ascii="Arial" w:hAnsi="Arial" w:cs="Arial"/>
          <w:sz w:val="24"/>
          <w:szCs w:val="24"/>
        </w:rPr>
        <w:t xml:space="preserve"> (</w:t>
      </w:r>
      <w:r w:rsidR="00F7766E">
        <w:rPr>
          <w:rFonts w:ascii="Arial" w:hAnsi="Arial" w:cs="Arial"/>
          <w:sz w:val="24"/>
          <w:szCs w:val="24"/>
        </w:rPr>
        <w:t>2018</w:t>
      </w:r>
      <w:r w:rsidR="00483435">
        <w:rPr>
          <w:rFonts w:ascii="Arial" w:hAnsi="Arial" w:cs="Arial"/>
          <w:sz w:val="24"/>
          <w:szCs w:val="24"/>
        </w:rPr>
        <w:t xml:space="preserve"> R66 911)</w:t>
      </w:r>
      <w:r w:rsidR="003552AD">
        <w:rPr>
          <w:rFonts w:ascii="Arial" w:hAnsi="Arial" w:cs="Arial"/>
          <w:sz w:val="24"/>
          <w:szCs w:val="24"/>
        </w:rPr>
        <w:t xml:space="preserve"> </w:t>
      </w:r>
    </w:p>
    <w:p w14:paraId="62C59E99" w14:textId="0ECBFB60" w:rsidR="00A95485" w:rsidRDefault="00F07DB1" w:rsidP="00A9548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i</w:t>
      </w:r>
      <w:r w:rsidR="0027296B">
        <w:rPr>
          <w:rFonts w:ascii="Arial" w:hAnsi="Arial" w:cs="Arial"/>
          <w:sz w:val="24"/>
          <w:szCs w:val="24"/>
        </w:rPr>
        <w:t>nterest earned</w:t>
      </w:r>
      <w:r w:rsidR="00D342BE">
        <w:rPr>
          <w:rFonts w:ascii="Arial" w:hAnsi="Arial" w:cs="Arial"/>
          <w:sz w:val="24"/>
          <w:szCs w:val="24"/>
        </w:rPr>
        <w:t xml:space="preserve">:  </w:t>
      </w:r>
      <w:r w:rsidR="003552AD">
        <w:rPr>
          <w:rFonts w:ascii="Arial" w:hAnsi="Arial" w:cs="Arial"/>
          <w:sz w:val="24"/>
          <w:szCs w:val="24"/>
        </w:rPr>
        <w:t>R</w:t>
      </w:r>
      <w:r w:rsidR="00A45CD1">
        <w:rPr>
          <w:rFonts w:ascii="Arial" w:hAnsi="Arial" w:cs="Arial"/>
          <w:sz w:val="24"/>
          <w:szCs w:val="24"/>
        </w:rPr>
        <w:t>65 206</w:t>
      </w:r>
      <w:r w:rsidR="003552AD">
        <w:rPr>
          <w:rFonts w:ascii="Arial" w:hAnsi="Arial" w:cs="Arial"/>
          <w:sz w:val="24"/>
          <w:szCs w:val="24"/>
        </w:rPr>
        <w:t xml:space="preserve"> (201</w:t>
      </w:r>
      <w:r w:rsidR="00483435">
        <w:rPr>
          <w:rFonts w:ascii="Arial" w:hAnsi="Arial" w:cs="Arial"/>
          <w:sz w:val="24"/>
          <w:szCs w:val="24"/>
        </w:rPr>
        <w:t>8</w:t>
      </w:r>
      <w:r w:rsidR="003552A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</w:t>
      </w:r>
      <w:r w:rsidR="00483435">
        <w:rPr>
          <w:rFonts w:ascii="Arial" w:hAnsi="Arial" w:cs="Arial"/>
          <w:sz w:val="24"/>
          <w:szCs w:val="24"/>
        </w:rPr>
        <w:t>70 465</w:t>
      </w:r>
      <w:r w:rsidR="003552AD">
        <w:rPr>
          <w:rFonts w:ascii="Arial" w:hAnsi="Arial" w:cs="Arial"/>
          <w:sz w:val="24"/>
          <w:szCs w:val="24"/>
        </w:rPr>
        <w:t>)</w:t>
      </w:r>
    </w:p>
    <w:p w14:paraId="52622F38" w14:textId="078ABE05" w:rsidR="003552AD" w:rsidRDefault="00A4754D" w:rsidP="003552A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Fixed Deposits: R</w:t>
      </w:r>
      <w:r w:rsidR="00A45CD1">
        <w:rPr>
          <w:rFonts w:ascii="Arial" w:hAnsi="Arial" w:cs="Arial"/>
          <w:sz w:val="24"/>
          <w:szCs w:val="24"/>
        </w:rPr>
        <w:t>39 052 (2018: 27 725)</w:t>
      </w:r>
    </w:p>
    <w:p w14:paraId="1BBA56CE" w14:textId="6AE61AC0" w:rsidR="003552AD" w:rsidRPr="00F745F5" w:rsidRDefault="003552AD" w:rsidP="00F745F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745F5">
        <w:rPr>
          <w:rFonts w:ascii="Arial" w:hAnsi="Arial" w:cs="Arial"/>
          <w:sz w:val="24"/>
          <w:szCs w:val="24"/>
        </w:rPr>
        <w:t xml:space="preserve">lan Grey Unit Trusts: </w:t>
      </w:r>
      <w:r w:rsidR="00A45CD1">
        <w:rPr>
          <w:rFonts w:ascii="Arial" w:hAnsi="Arial" w:cs="Arial"/>
          <w:sz w:val="24"/>
          <w:szCs w:val="24"/>
        </w:rPr>
        <w:t>R26 145</w:t>
      </w:r>
    </w:p>
    <w:p w14:paraId="56A0E00C" w14:textId="77777777" w:rsidR="006746CC" w:rsidRPr="00F745F5" w:rsidRDefault="00D146FD" w:rsidP="00F745F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D263A0" w:rsidRPr="00D146FD">
        <w:rPr>
          <w:rFonts w:ascii="Arial" w:hAnsi="Arial" w:cs="Arial"/>
          <w:b/>
          <w:sz w:val="24"/>
          <w:szCs w:val="24"/>
        </w:rPr>
        <w:t>xpenses</w:t>
      </w:r>
      <w:r w:rsidR="00D263A0">
        <w:rPr>
          <w:rFonts w:ascii="Arial" w:hAnsi="Arial" w:cs="Arial"/>
          <w:sz w:val="24"/>
          <w:szCs w:val="24"/>
        </w:rPr>
        <w:t xml:space="preserve"> were</w:t>
      </w:r>
      <w:r w:rsidR="001827E9">
        <w:rPr>
          <w:rFonts w:ascii="Arial" w:hAnsi="Arial" w:cs="Arial"/>
          <w:sz w:val="24"/>
          <w:szCs w:val="24"/>
        </w:rPr>
        <w:t>:</w:t>
      </w:r>
    </w:p>
    <w:p w14:paraId="74C00393" w14:textId="6A36D972" w:rsidR="006746CC" w:rsidRDefault="00F07DB1" w:rsidP="006746C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745F5">
        <w:rPr>
          <w:rFonts w:ascii="Arial" w:hAnsi="Arial" w:cs="Arial"/>
          <w:sz w:val="24"/>
          <w:szCs w:val="24"/>
        </w:rPr>
        <w:t>ther expenses:</w:t>
      </w:r>
      <w:r w:rsidR="007E6EAF">
        <w:rPr>
          <w:rFonts w:ascii="Arial" w:hAnsi="Arial" w:cs="Arial"/>
          <w:sz w:val="24"/>
          <w:szCs w:val="24"/>
        </w:rPr>
        <w:t xml:space="preserve"> R7 955</w:t>
      </w:r>
      <w:r w:rsidR="00F745F5">
        <w:rPr>
          <w:rFonts w:ascii="Arial" w:hAnsi="Arial" w:cs="Arial"/>
          <w:sz w:val="24"/>
          <w:szCs w:val="24"/>
        </w:rPr>
        <w:t xml:space="preserve"> </w:t>
      </w:r>
      <w:r w:rsidR="007E6EAF">
        <w:rPr>
          <w:rFonts w:ascii="Arial" w:hAnsi="Arial" w:cs="Arial"/>
          <w:sz w:val="24"/>
          <w:szCs w:val="24"/>
        </w:rPr>
        <w:t xml:space="preserve">(2018: </w:t>
      </w:r>
      <w:r w:rsidR="00F745F5">
        <w:rPr>
          <w:rFonts w:ascii="Arial" w:hAnsi="Arial" w:cs="Arial"/>
          <w:sz w:val="24"/>
          <w:szCs w:val="24"/>
        </w:rPr>
        <w:t>R6</w:t>
      </w:r>
      <w:r w:rsidR="007E6EAF">
        <w:rPr>
          <w:rFonts w:ascii="Arial" w:hAnsi="Arial" w:cs="Arial"/>
          <w:sz w:val="24"/>
          <w:szCs w:val="24"/>
        </w:rPr>
        <w:t> </w:t>
      </w:r>
      <w:r w:rsidR="00F745F5">
        <w:rPr>
          <w:rFonts w:ascii="Arial" w:hAnsi="Arial" w:cs="Arial"/>
          <w:sz w:val="24"/>
          <w:szCs w:val="24"/>
        </w:rPr>
        <w:t>980</w:t>
      </w:r>
      <w:r w:rsidR="007E6EAF">
        <w:rPr>
          <w:rFonts w:ascii="Arial" w:hAnsi="Arial" w:cs="Arial"/>
          <w:sz w:val="24"/>
          <w:szCs w:val="24"/>
        </w:rPr>
        <w:t>)</w:t>
      </w:r>
    </w:p>
    <w:p w14:paraId="055608BB" w14:textId="2FE8AFF8" w:rsidR="006746CC" w:rsidRDefault="00F745F5" w:rsidP="006746C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charges: </w:t>
      </w:r>
      <w:r w:rsidR="007E6EAF">
        <w:rPr>
          <w:rFonts w:ascii="Arial" w:hAnsi="Arial" w:cs="Arial"/>
          <w:sz w:val="24"/>
          <w:szCs w:val="24"/>
        </w:rPr>
        <w:t xml:space="preserve">R3 647 (2018: </w:t>
      </w:r>
      <w:r>
        <w:rPr>
          <w:rFonts w:ascii="Arial" w:hAnsi="Arial" w:cs="Arial"/>
          <w:sz w:val="24"/>
          <w:szCs w:val="24"/>
        </w:rPr>
        <w:t>R3</w:t>
      </w:r>
      <w:r w:rsidR="007E6EA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658</w:t>
      </w:r>
      <w:r w:rsidR="007E6EAF">
        <w:rPr>
          <w:rFonts w:ascii="Arial" w:hAnsi="Arial" w:cs="Arial"/>
          <w:sz w:val="24"/>
          <w:szCs w:val="24"/>
        </w:rPr>
        <w:t>)</w:t>
      </w:r>
    </w:p>
    <w:p w14:paraId="0CB38242" w14:textId="3F4B6C67" w:rsidR="007E6EAF" w:rsidRDefault="007E6EAF" w:rsidP="006746C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SAHJ – copy editing: R56 250</w:t>
      </w:r>
    </w:p>
    <w:p w14:paraId="509997D1" w14:textId="1D49E8C6" w:rsidR="006746CC" w:rsidRPr="006746CC" w:rsidRDefault="006746CC" w:rsidP="00F07DB1">
      <w:pPr>
        <w:ind w:left="360"/>
        <w:jc w:val="both"/>
        <w:rPr>
          <w:rFonts w:ascii="Arial" w:hAnsi="Arial" w:cs="Arial"/>
          <w:sz w:val="24"/>
          <w:szCs w:val="24"/>
        </w:rPr>
      </w:pPr>
      <w:r w:rsidRPr="008B72AE">
        <w:rPr>
          <w:rFonts w:ascii="Arial" w:hAnsi="Arial" w:cs="Arial"/>
          <w:b/>
          <w:sz w:val="24"/>
          <w:szCs w:val="24"/>
        </w:rPr>
        <w:t>Surplus</w:t>
      </w:r>
      <w:r w:rsidR="00F07DB1">
        <w:rPr>
          <w:rFonts w:ascii="Arial" w:hAnsi="Arial" w:cs="Arial"/>
          <w:sz w:val="24"/>
          <w:szCs w:val="24"/>
        </w:rPr>
        <w:t xml:space="preserve"> carried forward: </w:t>
      </w:r>
      <w:r w:rsidR="00E9210F">
        <w:rPr>
          <w:rFonts w:ascii="Arial" w:hAnsi="Arial" w:cs="Arial"/>
          <w:sz w:val="24"/>
          <w:szCs w:val="24"/>
        </w:rPr>
        <w:t>R421 475 (2018</w:t>
      </w:r>
      <w:r w:rsidR="00E9210F" w:rsidRPr="00E9210F">
        <w:rPr>
          <w:rFonts w:ascii="Arial" w:hAnsi="Arial" w:cs="Arial"/>
          <w:sz w:val="24"/>
          <w:szCs w:val="24"/>
        </w:rPr>
        <w:t xml:space="preserve">: </w:t>
      </w:r>
      <w:r w:rsidR="00F745F5" w:rsidRPr="00E9210F">
        <w:rPr>
          <w:rFonts w:ascii="Arial" w:hAnsi="Arial" w:cs="Arial"/>
          <w:sz w:val="24"/>
          <w:szCs w:val="24"/>
        </w:rPr>
        <w:t>R125</w:t>
      </w:r>
      <w:r w:rsidR="00E9210F" w:rsidRPr="00E9210F">
        <w:rPr>
          <w:rFonts w:ascii="Arial" w:hAnsi="Arial" w:cs="Arial"/>
          <w:sz w:val="24"/>
          <w:szCs w:val="24"/>
        </w:rPr>
        <w:t> </w:t>
      </w:r>
      <w:r w:rsidR="00F745F5" w:rsidRPr="00E9210F">
        <w:rPr>
          <w:rFonts w:ascii="Arial" w:hAnsi="Arial" w:cs="Arial"/>
          <w:sz w:val="24"/>
          <w:szCs w:val="24"/>
        </w:rPr>
        <w:t>441</w:t>
      </w:r>
      <w:r w:rsidR="00E9210F" w:rsidRPr="00E9210F">
        <w:rPr>
          <w:rFonts w:ascii="Arial" w:hAnsi="Arial" w:cs="Arial"/>
          <w:sz w:val="24"/>
          <w:szCs w:val="24"/>
        </w:rPr>
        <w:t>)</w:t>
      </w:r>
    </w:p>
    <w:p w14:paraId="2F621B5F" w14:textId="08D6C0CF" w:rsidR="00C660C2" w:rsidRPr="00E67478" w:rsidRDefault="008B72AE" w:rsidP="00E67478">
      <w:pPr>
        <w:ind w:left="360"/>
        <w:jc w:val="both"/>
        <w:rPr>
          <w:rFonts w:ascii="Arial" w:hAnsi="Arial" w:cs="Arial"/>
          <w:sz w:val="24"/>
          <w:szCs w:val="24"/>
        </w:rPr>
      </w:pPr>
      <w:r w:rsidRPr="008B72AE">
        <w:rPr>
          <w:rFonts w:ascii="Arial" w:hAnsi="Arial" w:cs="Arial"/>
          <w:b/>
          <w:sz w:val="24"/>
          <w:szCs w:val="24"/>
        </w:rPr>
        <w:t>A</w:t>
      </w:r>
      <w:r w:rsidR="00E73227" w:rsidRPr="008B72AE">
        <w:rPr>
          <w:rFonts w:ascii="Arial" w:hAnsi="Arial" w:cs="Arial"/>
          <w:b/>
          <w:sz w:val="24"/>
          <w:szCs w:val="24"/>
        </w:rPr>
        <w:t>ccumulated reserves</w:t>
      </w:r>
      <w:r w:rsidR="00E73227">
        <w:rPr>
          <w:rFonts w:ascii="Arial" w:hAnsi="Arial" w:cs="Arial"/>
          <w:sz w:val="24"/>
          <w:szCs w:val="24"/>
        </w:rPr>
        <w:t xml:space="preserve"> of the societ</w:t>
      </w:r>
      <w:r w:rsidR="00D146FD">
        <w:rPr>
          <w:rFonts w:ascii="Arial" w:hAnsi="Arial" w:cs="Arial"/>
          <w:sz w:val="24"/>
          <w:szCs w:val="24"/>
        </w:rPr>
        <w:t>y</w:t>
      </w:r>
      <w:r w:rsidR="00CB0CDF">
        <w:rPr>
          <w:rFonts w:ascii="Arial" w:hAnsi="Arial" w:cs="Arial"/>
          <w:sz w:val="24"/>
          <w:szCs w:val="24"/>
        </w:rPr>
        <w:t xml:space="preserve"> at 31 Dec 20</w:t>
      </w:r>
      <w:r w:rsidR="00E9210F">
        <w:rPr>
          <w:rFonts w:ascii="Arial" w:hAnsi="Arial" w:cs="Arial"/>
          <w:sz w:val="24"/>
          <w:szCs w:val="24"/>
        </w:rPr>
        <w:t>21</w:t>
      </w:r>
      <w:r w:rsidRPr="0099432F">
        <w:rPr>
          <w:rFonts w:ascii="Arial" w:hAnsi="Arial" w:cs="Arial"/>
          <w:b/>
          <w:bCs/>
          <w:sz w:val="24"/>
          <w:szCs w:val="24"/>
        </w:rPr>
        <w:t>:</w:t>
      </w:r>
      <w:r w:rsidR="0099432F" w:rsidRPr="0099432F">
        <w:rPr>
          <w:rFonts w:ascii="Arial" w:hAnsi="Arial" w:cs="Arial"/>
          <w:b/>
          <w:bCs/>
          <w:sz w:val="24"/>
          <w:szCs w:val="24"/>
        </w:rPr>
        <w:t xml:space="preserve"> R2 626 024</w:t>
      </w:r>
      <w:r w:rsidR="00CB0CDF">
        <w:rPr>
          <w:rFonts w:ascii="Arial" w:hAnsi="Arial" w:cs="Arial"/>
          <w:sz w:val="24"/>
          <w:szCs w:val="24"/>
        </w:rPr>
        <w:t xml:space="preserve"> </w:t>
      </w:r>
      <w:r w:rsidR="00E9210F">
        <w:rPr>
          <w:rFonts w:ascii="Arial" w:hAnsi="Arial" w:cs="Arial"/>
          <w:sz w:val="24"/>
          <w:szCs w:val="24"/>
        </w:rPr>
        <w:t xml:space="preserve">(31 Dec 2018: </w:t>
      </w:r>
      <w:r w:rsidR="00CB0CDF" w:rsidRPr="00E9210F">
        <w:rPr>
          <w:rFonts w:ascii="Arial" w:hAnsi="Arial" w:cs="Arial"/>
          <w:bCs/>
          <w:sz w:val="24"/>
          <w:szCs w:val="24"/>
        </w:rPr>
        <w:t>R1 508</w:t>
      </w:r>
      <w:r w:rsidR="0099432F">
        <w:rPr>
          <w:rFonts w:ascii="Arial" w:hAnsi="Arial" w:cs="Arial"/>
          <w:bCs/>
          <w:sz w:val="24"/>
          <w:szCs w:val="24"/>
        </w:rPr>
        <w:t> </w:t>
      </w:r>
      <w:r w:rsidR="00CB0CDF" w:rsidRPr="00E9210F">
        <w:rPr>
          <w:rFonts w:ascii="Arial" w:hAnsi="Arial" w:cs="Arial"/>
          <w:bCs/>
          <w:sz w:val="24"/>
          <w:szCs w:val="24"/>
        </w:rPr>
        <w:t>387</w:t>
      </w:r>
      <w:r w:rsidR="0099432F">
        <w:rPr>
          <w:rFonts w:ascii="Arial" w:hAnsi="Arial" w:cs="Arial"/>
          <w:bCs/>
          <w:sz w:val="24"/>
          <w:szCs w:val="24"/>
        </w:rPr>
        <w:t>- 74% growth);</w:t>
      </w:r>
      <w:r>
        <w:rPr>
          <w:rFonts w:ascii="Arial" w:hAnsi="Arial" w:cs="Arial"/>
          <w:sz w:val="24"/>
          <w:szCs w:val="24"/>
        </w:rPr>
        <w:t xml:space="preserve"> </w:t>
      </w:r>
      <w:r w:rsidR="00CB0CDF">
        <w:rPr>
          <w:rFonts w:ascii="Arial" w:hAnsi="Arial" w:cs="Arial"/>
          <w:sz w:val="24"/>
          <w:szCs w:val="24"/>
        </w:rPr>
        <w:t xml:space="preserve">(31 Dec 2016: </w:t>
      </w:r>
      <w:r w:rsidR="00F07DB1" w:rsidRPr="00CB0CDF">
        <w:rPr>
          <w:rFonts w:ascii="Arial" w:hAnsi="Arial" w:cs="Arial"/>
          <w:sz w:val="24"/>
          <w:szCs w:val="24"/>
        </w:rPr>
        <w:t>R1 197</w:t>
      </w:r>
      <w:r w:rsidR="00CB0CDF">
        <w:rPr>
          <w:rFonts w:ascii="Arial" w:hAnsi="Arial" w:cs="Arial"/>
          <w:sz w:val="24"/>
          <w:szCs w:val="24"/>
        </w:rPr>
        <w:t> </w:t>
      </w:r>
      <w:r w:rsidR="00F07DB1" w:rsidRPr="00CB0CDF">
        <w:rPr>
          <w:rFonts w:ascii="Arial" w:hAnsi="Arial" w:cs="Arial"/>
          <w:sz w:val="24"/>
          <w:szCs w:val="24"/>
        </w:rPr>
        <w:t>586</w:t>
      </w:r>
      <w:r w:rsidR="00CB0CDF">
        <w:rPr>
          <w:rFonts w:ascii="Arial" w:hAnsi="Arial" w:cs="Arial"/>
          <w:sz w:val="24"/>
          <w:szCs w:val="24"/>
        </w:rPr>
        <w:t xml:space="preserve"> – 26% growth</w:t>
      </w:r>
      <w:r w:rsidR="00CB0CDF" w:rsidRPr="00CB0CDF">
        <w:rPr>
          <w:rFonts w:ascii="Arial" w:hAnsi="Arial" w:cs="Arial"/>
          <w:sz w:val="24"/>
          <w:szCs w:val="24"/>
        </w:rPr>
        <w:t>)</w:t>
      </w:r>
      <w:r w:rsidR="00E67478">
        <w:rPr>
          <w:rFonts w:ascii="Arial" w:hAnsi="Arial" w:cs="Arial"/>
          <w:sz w:val="24"/>
          <w:szCs w:val="24"/>
        </w:rPr>
        <w:t xml:space="preserve"> (</w:t>
      </w:r>
      <w:r w:rsidRPr="00E67478">
        <w:rPr>
          <w:rFonts w:ascii="Arial" w:hAnsi="Arial" w:cs="Arial"/>
          <w:sz w:val="24"/>
          <w:szCs w:val="24"/>
        </w:rPr>
        <w:t>31 Dec 2014: R</w:t>
      </w:r>
      <w:r w:rsidR="00F07DB1">
        <w:rPr>
          <w:rFonts w:ascii="Arial" w:hAnsi="Arial" w:cs="Arial"/>
          <w:sz w:val="24"/>
          <w:szCs w:val="24"/>
        </w:rPr>
        <w:t>798 996</w:t>
      </w:r>
      <w:r w:rsidR="00F06146" w:rsidRPr="00E67478">
        <w:rPr>
          <w:rFonts w:ascii="Arial" w:hAnsi="Arial" w:cs="Arial"/>
          <w:sz w:val="24"/>
          <w:szCs w:val="24"/>
        </w:rPr>
        <w:t>)</w:t>
      </w:r>
      <w:r w:rsidR="00E73227" w:rsidRPr="00E67478">
        <w:rPr>
          <w:rFonts w:ascii="Arial" w:hAnsi="Arial" w:cs="Arial"/>
          <w:sz w:val="24"/>
          <w:szCs w:val="24"/>
        </w:rPr>
        <w:t>.</w:t>
      </w:r>
      <w:r w:rsidR="00F06146" w:rsidRPr="00E67478">
        <w:rPr>
          <w:rFonts w:ascii="Arial" w:hAnsi="Arial" w:cs="Arial"/>
          <w:sz w:val="24"/>
          <w:szCs w:val="24"/>
        </w:rPr>
        <w:t xml:space="preserve"> </w:t>
      </w:r>
    </w:p>
    <w:p w14:paraId="61C0DB4F" w14:textId="77777777" w:rsidR="00C660C2" w:rsidRPr="00C660C2" w:rsidRDefault="00C660C2" w:rsidP="00C660C2">
      <w:pPr>
        <w:pStyle w:val="ListParagraph"/>
        <w:ind w:left="1150"/>
        <w:jc w:val="both"/>
        <w:rPr>
          <w:rFonts w:ascii="Arial" w:hAnsi="Arial" w:cs="Arial"/>
          <w:sz w:val="24"/>
          <w:szCs w:val="24"/>
        </w:rPr>
      </w:pPr>
    </w:p>
    <w:p w14:paraId="3EAA50B2" w14:textId="77777777" w:rsidR="00E73227" w:rsidRPr="001827E9" w:rsidRDefault="00E73227" w:rsidP="00E732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827E9">
        <w:rPr>
          <w:rFonts w:ascii="Arial" w:hAnsi="Arial" w:cs="Arial"/>
          <w:b/>
          <w:sz w:val="24"/>
          <w:szCs w:val="24"/>
        </w:rPr>
        <w:t>Basis of preparation</w:t>
      </w:r>
    </w:p>
    <w:p w14:paraId="26E6A531" w14:textId="77777777" w:rsidR="00E73227" w:rsidRDefault="00E73227" w:rsidP="00E7322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financial statements were prepared from the bank statements o</w:t>
      </w:r>
      <w:r w:rsidR="001827E9">
        <w:rPr>
          <w:rFonts w:ascii="Arial" w:hAnsi="Arial" w:cs="Arial"/>
          <w:sz w:val="24"/>
          <w:szCs w:val="24"/>
        </w:rPr>
        <w:t>f the accounts operated by the S</w:t>
      </w:r>
      <w:r>
        <w:rPr>
          <w:rFonts w:ascii="Arial" w:hAnsi="Arial" w:cs="Arial"/>
          <w:sz w:val="24"/>
          <w:szCs w:val="24"/>
        </w:rPr>
        <w:t>ociety namely the chequ</w:t>
      </w:r>
      <w:r w:rsidR="00C660C2">
        <w:rPr>
          <w:rFonts w:ascii="Arial" w:hAnsi="Arial" w:cs="Arial"/>
          <w:sz w:val="24"/>
          <w:szCs w:val="24"/>
        </w:rPr>
        <w:t xml:space="preserve">e account, </w:t>
      </w:r>
      <w:r w:rsidR="00162182">
        <w:rPr>
          <w:rFonts w:ascii="Arial" w:hAnsi="Arial" w:cs="Arial"/>
          <w:sz w:val="24"/>
          <w:szCs w:val="24"/>
        </w:rPr>
        <w:t>fixed deposits</w:t>
      </w:r>
      <w:r w:rsidR="00C660C2">
        <w:rPr>
          <w:rFonts w:ascii="Arial" w:hAnsi="Arial" w:cs="Arial"/>
          <w:sz w:val="24"/>
          <w:szCs w:val="24"/>
        </w:rPr>
        <w:t xml:space="preserve"> and Alan Grey unit trusts.  The</w:t>
      </w:r>
      <w:r>
        <w:rPr>
          <w:rFonts w:ascii="Arial" w:hAnsi="Arial" w:cs="Arial"/>
          <w:sz w:val="24"/>
          <w:szCs w:val="24"/>
        </w:rPr>
        <w:t xml:space="preserve"> </w:t>
      </w:r>
      <w:r w:rsidR="00C660C2">
        <w:rPr>
          <w:rFonts w:ascii="Arial" w:hAnsi="Arial" w:cs="Arial"/>
          <w:sz w:val="24"/>
          <w:szCs w:val="24"/>
        </w:rPr>
        <w:t>cheque and fixed deposit accounts are</w:t>
      </w:r>
      <w:r>
        <w:rPr>
          <w:rFonts w:ascii="Arial" w:hAnsi="Arial" w:cs="Arial"/>
          <w:sz w:val="24"/>
          <w:szCs w:val="24"/>
        </w:rPr>
        <w:t xml:space="preserve"> Absa Bank Limited </w:t>
      </w:r>
      <w:r w:rsidR="00C660C2">
        <w:rPr>
          <w:rFonts w:ascii="Arial" w:hAnsi="Arial" w:cs="Arial"/>
          <w:sz w:val="24"/>
          <w:szCs w:val="24"/>
        </w:rPr>
        <w:t>accounts</w:t>
      </w:r>
      <w:r>
        <w:rPr>
          <w:rFonts w:ascii="Arial" w:hAnsi="Arial" w:cs="Arial"/>
          <w:sz w:val="24"/>
          <w:szCs w:val="24"/>
        </w:rPr>
        <w:t>.</w:t>
      </w:r>
      <w:r w:rsidR="009215D4">
        <w:rPr>
          <w:rFonts w:ascii="Arial" w:hAnsi="Arial" w:cs="Arial"/>
          <w:sz w:val="24"/>
          <w:szCs w:val="24"/>
        </w:rPr>
        <w:t xml:space="preserve">  The following statements were prepared:</w:t>
      </w:r>
    </w:p>
    <w:p w14:paraId="795C0B2F" w14:textId="77777777" w:rsidR="009215D4" w:rsidRDefault="00184C08" w:rsidP="009215D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Cashbook</w:t>
      </w:r>
    </w:p>
    <w:p w14:paraId="5B2607BA" w14:textId="77777777" w:rsidR="009215D4" w:rsidRDefault="009215D4" w:rsidP="009215D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Consolidated Income and Expenditure Account (in hand out)</w:t>
      </w:r>
    </w:p>
    <w:p w14:paraId="5D035BEF" w14:textId="77777777" w:rsidR="009215D4" w:rsidRDefault="00A64DBB" w:rsidP="009215D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Sheet</w:t>
      </w:r>
      <w:r w:rsidR="009215D4">
        <w:rPr>
          <w:rFonts w:ascii="Arial" w:hAnsi="Arial" w:cs="Arial"/>
          <w:sz w:val="24"/>
          <w:szCs w:val="24"/>
        </w:rPr>
        <w:t xml:space="preserve"> (in hand out)</w:t>
      </w:r>
    </w:p>
    <w:p w14:paraId="64EAD935" w14:textId="77777777" w:rsidR="001827E9" w:rsidRPr="001827E9" w:rsidRDefault="009215D4" w:rsidP="001827E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Consolidated Cash Flow St</w:t>
      </w:r>
      <w:r w:rsidR="00BF03DE">
        <w:rPr>
          <w:rFonts w:ascii="Arial" w:hAnsi="Arial" w:cs="Arial"/>
          <w:sz w:val="24"/>
          <w:szCs w:val="24"/>
        </w:rPr>
        <w:t>atement</w:t>
      </w:r>
      <w:r w:rsidR="00C660C2">
        <w:rPr>
          <w:rFonts w:ascii="Arial" w:hAnsi="Arial" w:cs="Arial"/>
          <w:sz w:val="24"/>
          <w:szCs w:val="24"/>
        </w:rPr>
        <w:t xml:space="preserve"> (in hand out)</w:t>
      </w:r>
    </w:p>
    <w:p w14:paraId="209BA9FC" w14:textId="77777777" w:rsidR="001827E9" w:rsidRDefault="001827E9" w:rsidP="001827E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ED4F953" w14:textId="77777777" w:rsidR="000C64F3" w:rsidRPr="001827E9" w:rsidRDefault="002F2F7A" w:rsidP="002F2F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827E9">
        <w:rPr>
          <w:rFonts w:ascii="Arial" w:hAnsi="Arial" w:cs="Arial"/>
          <w:b/>
          <w:sz w:val="24"/>
          <w:szCs w:val="24"/>
        </w:rPr>
        <w:t>General</w:t>
      </w:r>
      <w:r w:rsidR="007423F5" w:rsidRPr="001827E9">
        <w:rPr>
          <w:rFonts w:ascii="Arial" w:hAnsi="Arial" w:cs="Arial"/>
          <w:b/>
          <w:sz w:val="24"/>
          <w:szCs w:val="24"/>
        </w:rPr>
        <w:t xml:space="preserve"> Remarks</w:t>
      </w:r>
    </w:p>
    <w:p w14:paraId="1B6D914A" w14:textId="2C646A9F" w:rsidR="00A6723C" w:rsidRDefault="00EB2EFD" w:rsidP="00184C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Accumulated reserves and Investment of funds as at </w:t>
      </w:r>
      <w:r w:rsidR="00B4244E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 xml:space="preserve"> June 20</w:t>
      </w:r>
      <w:r w:rsidR="00B4244E">
        <w:rPr>
          <w:rFonts w:ascii="Arial" w:hAnsi="Arial" w:cs="Arial"/>
          <w:b/>
          <w:sz w:val="24"/>
          <w:szCs w:val="24"/>
        </w:rPr>
        <w:t>22</w:t>
      </w:r>
      <w:r w:rsidR="00781B4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6B76D5" w14:textId="232CD692" w:rsidR="00EB2EFD" w:rsidRPr="004B70C3" w:rsidRDefault="003A45EC" w:rsidP="004B70C3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Cheque account: </w:t>
      </w:r>
      <w:r w:rsidRPr="00E67478">
        <w:rPr>
          <w:rFonts w:ascii="Arial" w:hAnsi="Arial" w:cs="Arial"/>
          <w:b/>
          <w:sz w:val="24"/>
          <w:szCs w:val="24"/>
        </w:rPr>
        <w:t>R</w:t>
      </w:r>
      <w:r w:rsidR="00B4244E">
        <w:rPr>
          <w:rFonts w:ascii="Arial" w:hAnsi="Arial" w:cs="Arial"/>
          <w:b/>
          <w:sz w:val="24"/>
          <w:szCs w:val="24"/>
        </w:rPr>
        <w:t>427</w:t>
      </w:r>
      <w:r w:rsidR="004B70C3">
        <w:rPr>
          <w:rFonts w:ascii="Arial" w:hAnsi="Arial" w:cs="Arial"/>
          <w:b/>
          <w:sz w:val="24"/>
          <w:szCs w:val="24"/>
        </w:rPr>
        <w:t> </w:t>
      </w:r>
      <w:r w:rsidR="00B4244E">
        <w:rPr>
          <w:rFonts w:ascii="Arial" w:hAnsi="Arial" w:cs="Arial"/>
          <w:b/>
          <w:sz w:val="24"/>
          <w:szCs w:val="24"/>
        </w:rPr>
        <w:t>312</w:t>
      </w:r>
      <w:r w:rsidR="004B70C3">
        <w:rPr>
          <w:rFonts w:ascii="Arial" w:hAnsi="Arial" w:cs="Arial"/>
          <w:b/>
          <w:sz w:val="24"/>
          <w:szCs w:val="24"/>
        </w:rPr>
        <w:t xml:space="preserve"> </w:t>
      </w:r>
      <w:r w:rsidR="004B70C3">
        <w:rPr>
          <w:rFonts w:ascii="Arial" w:hAnsi="Arial" w:cs="Arial"/>
          <w:sz w:val="24"/>
          <w:szCs w:val="24"/>
        </w:rPr>
        <w:t>(distorted figure:  conference expenses must still be paid).</w:t>
      </w:r>
    </w:p>
    <w:p w14:paraId="16BAB700" w14:textId="5D9A9A3E" w:rsidR="003A45EC" w:rsidRDefault="009B5D40" w:rsidP="003A45E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Fixed</w:t>
      </w:r>
      <w:r w:rsidR="00EB2EFD">
        <w:rPr>
          <w:rFonts w:ascii="Arial" w:hAnsi="Arial" w:cs="Arial"/>
          <w:sz w:val="24"/>
          <w:szCs w:val="24"/>
        </w:rPr>
        <w:t xml:space="preserve"> Deposit</w:t>
      </w:r>
      <w:r w:rsidR="00B4244E">
        <w:rPr>
          <w:rFonts w:ascii="Arial" w:hAnsi="Arial" w:cs="Arial"/>
          <w:sz w:val="24"/>
          <w:szCs w:val="24"/>
        </w:rPr>
        <w:t>s</w:t>
      </w:r>
      <w:r w:rsidR="00EB2EFD">
        <w:rPr>
          <w:rFonts w:ascii="Arial" w:hAnsi="Arial" w:cs="Arial"/>
          <w:sz w:val="24"/>
          <w:szCs w:val="24"/>
        </w:rPr>
        <w:t xml:space="preserve">:  </w:t>
      </w:r>
      <w:r w:rsidR="00B4244E" w:rsidRPr="004B70C3">
        <w:rPr>
          <w:rFonts w:ascii="Arial" w:hAnsi="Arial" w:cs="Arial"/>
          <w:b/>
          <w:bCs/>
          <w:sz w:val="24"/>
          <w:szCs w:val="24"/>
        </w:rPr>
        <w:t>R1 282 757</w:t>
      </w:r>
    </w:p>
    <w:p w14:paraId="140B4AE0" w14:textId="33B55685" w:rsidR="00E67478" w:rsidRDefault="00E67478" w:rsidP="003A45E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Alan Grey Unit Trusts as </w:t>
      </w:r>
      <w:r w:rsidR="00F729A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E85C9E">
        <w:rPr>
          <w:rFonts w:ascii="Arial" w:hAnsi="Arial" w:cs="Arial"/>
          <w:sz w:val="24"/>
          <w:szCs w:val="24"/>
        </w:rPr>
        <w:t>31 March</w:t>
      </w:r>
      <w:r>
        <w:rPr>
          <w:rFonts w:ascii="Arial" w:hAnsi="Arial" w:cs="Arial"/>
          <w:sz w:val="24"/>
          <w:szCs w:val="24"/>
        </w:rPr>
        <w:t xml:space="preserve"> 20</w:t>
      </w:r>
      <w:r w:rsidR="00E85C9E">
        <w:rPr>
          <w:rFonts w:ascii="Arial" w:hAnsi="Arial" w:cs="Arial"/>
          <w:sz w:val="24"/>
          <w:szCs w:val="24"/>
        </w:rPr>
        <w:t>22</w:t>
      </w:r>
    </w:p>
    <w:p w14:paraId="10443EFB" w14:textId="130AFF78" w:rsidR="00E67478" w:rsidRDefault="00E67478" w:rsidP="00E67478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Allan</w:t>
      </w:r>
      <w:r w:rsidR="00626030">
        <w:rPr>
          <w:rFonts w:ascii="Arial" w:hAnsi="Arial" w:cs="Arial"/>
          <w:sz w:val="24"/>
          <w:szCs w:val="24"/>
        </w:rPr>
        <w:t xml:space="preserve"> Grey Balanced Fund: R</w:t>
      </w:r>
      <w:r w:rsidR="00E85C9E">
        <w:rPr>
          <w:rFonts w:ascii="Arial" w:hAnsi="Arial" w:cs="Arial"/>
          <w:sz w:val="24"/>
          <w:szCs w:val="24"/>
        </w:rPr>
        <w:t>649 710</w:t>
      </w:r>
    </w:p>
    <w:p w14:paraId="2530E13A" w14:textId="4D601589" w:rsidR="00E67478" w:rsidRDefault="00E67478" w:rsidP="00E67478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626030">
        <w:rPr>
          <w:rFonts w:ascii="Arial" w:hAnsi="Arial" w:cs="Arial"/>
          <w:sz w:val="24"/>
          <w:szCs w:val="24"/>
        </w:rPr>
        <w:t>an Grey Stable Fund: R</w:t>
      </w:r>
      <w:r w:rsidR="00E85C9E">
        <w:rPr>
          <w:rFonts w:ascii="Arial" w:hAnsi="Arial" w:cs="Arial"/>
          <w:sz w:val="24"/>
          <w:szCs w:val="24"/>
        </w:rPr>
        <w:t>658 794</w:t>
      </w:r>
    </w:p>
    <w:p w14:paraId="5F3D30D4" w14:textId="502779F4" w:rsidR="00E67478" w:rsidRDefault="00E67478" w:rsidP="00E67478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Investment value: </w:t>
      </w:r>
      <w:r w:rsidR="00626030">
        <w:rPr>
          <w:rFonts w:ascii="Arial" w:hAnsi="Arial" w:cs="Arial"/>
          <w:b/>
          <w:sz w:val="24"/>
          <w:szCs w:val="24"/>
        </w:rPr>
        <w:t>R1</w:t>
      </w:r>
      <w:r w:rsidR="00E85C9E">
        <w:rPr>
          <w:rFonts w:ascii="Arial" w:hAnsi="Arial" w:cs="Arial"/>
          <w:b/>
          <w:sz w:val="24"/>
          <w:szCs w:val="24"/>
        </w:rPr>
        <w:t> 308 504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ECC257" w14:textId="66012FED" w:rsidR="004B70C3" w:rsidRPr="004B70C3" w:rsidRDefault="00A630E6" w:rsidP="0052590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B70C3">
        <w:rPr>
          <w:rFonts w:ascii="Arial" w:hAnsi="Arial" w:cs="Arial"/>
          <w:sz w:val="24"/>
          <w:szCs w:val="24"/>
        </w:rPr>
        <w:lastRenderedPageBreak/>
        <w:t xml:space="preserve">Total </w:t>
      </w:r>
      <w:r w:rsidR="00E67478" w:rsidRPr="004B70C3">
        <w:rPr>
          <w:rFonts w:ascii="Arial" w:hAnsi="Arial" w:cs="Arial"/>
          <w:sz w:val="24"/>
          <w:szCs w:val="24"/>
        </w:rPr>
        <w:t xml:space="preserve">Accumulated Funds: </w:t>
      </w:r>
      <w:r w:rsidR="00626030" w:rsidRPr="004B70C3">
        <w:rPr>
          <w:rFonts w:ascii="Arial" w:hAnsi="Arial" w:cs="Arial"/>
          <w:b/>
          <w:sz w:val="24"/>
          <w:szCs w:val="24"/>
        </w:rPr>
        <w:t>R</w:t>
      </w:r>
      <w:r w:rsidR="004B70C3" w:rsidRPr="004B70C3">
        <w:rPr>
          <w:rFonts w:ascii="Arial" w:hAnsi="Arial" w:cs="Arial"/>
          <w:b/>
          <w:sz w:val="24"/>
          <w:szCs w:val="24"/>
        </w:rPr>
        <w:t>3 018</w:t>
      </w:r>
      <w:r w:rsidR="004B70C3">
        <w:rPr>
          <w:rFonts w:ascii="Arial" w:hAnsi="Arial" w:cs="Arial"/>
          <w:b/>
          <w:sz w:val="24"/>
          <w:szCs w:val="24"/>
        </w:rPr>
        <w:t> </w:t>
      </w:r>
      <w:r w:rsidR="004B70C3" w:rsidRPr="004B70C3">
        <w:rPr>
          <w:rFonts w:ascii="Arial" w:hAnsi="Arial" w:cs="Arial"/>
          <w:b/>
          <w:sz w:val="24"/>
          <w:szCs w:val="24"/>
        </w:rPr>
        <w:t>573</w:t>
      </w:r>
      <w:r w:rsidR="00EC557D" w:rsidRPr="004B70C3">
        <w:rPr>
          <w:rFonts w:ascii="Arial" w:hAnsi="Arial" w:cs="Arial"/>
          <w:sz w:val="24"/>
          <w:szCs w:val="24"/>
        </w:rPr>
        <w:t xml:space="preserve"> </w:t>
      </w:r>
    </w:p>
    <w:p w14:paraId="56987F79" w14:textId="77777777" w:rsidR="004B70C3" w:rsidRPr="004B70C3" w:rsidRDefault="004B70C3" w:rsidP="004B70C3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6352A819" w14:textId="77777777" w:rsidR="004B70C3" w:rsidRDefault="004B70C3" w:rsidP="004B70C3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6228A17D" w14:textId="335F1FC5" w:rsidR="001827E9" w:rsidRPr="004B70C3" w:rsidRDefault="001744D5" w:rsidP="004B70C3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4B70C3">
        <w:rPr>
          <w:rFonts w:ascii="Arial" w:hAnsi="Arial" w:cs="Arial"/>
          <w:b/>
          <w:sz w:val="24"/>
          <w:szCs w:val="24"/>
        </w:rPr>
        <w:t>Copyright income</w:t>
      </w:r>
      <w:r w:rsidR="00F07DB1" w:rsidRPr="004B70C3">
        <w:rPr>
          <w:rFonts w:ascii="Arial" w:hAnsi="Arial" w:cs="Arial"/>
          <w:b/>
          <w:sz w:val="24"/>
          <w:szCs w:val="24"/>
        </w:rPr>
        <w:t xml:space="preserve"> from T&amp;F and Dalro</w:t>
      </w:r>
    </w:p>
    <w:p w14:paraId="4BC82CB3" w14:textId="77777777" w:rsidR="00A64DBB" w:rsidRDefault="00A64DBB" w:rsidP="00407AFF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5967A545" w14:textId="77777777" w:rsidR="00407AFF" w:rsidRPr="00A64DBB" w:rsidRDefault="00A64DBB" w:rsidP="00407AFF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A64DBB">
        <w:rPr>
          <w:rFonts w:ascii="Arial" w:hAnsi="Arial" w:cs="Arial"/>
          <w:b/>
          <w:sz w:val="24"/>
          <w:szCs w:val="24"/>
        </w:rPr>
        <w:t>Copyright income</w:t>
      </w:r>
      <w:r w:rsidR="002D6313">
        <w:rPr>
          <w:rFonts w:ascii="Arial" w:hAnsi="Arial" w:cs="Arial"/>
          <w:b/>
          <w:sz w:val="24"/>
          <w:szCs w:val="24"/>
        </w:rPr>
        <w:t xml:space="preserve"> SA Rand</w:t>
      </w:r>
      <w:r w:rsidRPr="00A64DBB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8506" w:type="dxa"/>
        <w:tblInd w:w="-431" w:type="dxa"/>
        <w:tblLook w:val="04A0" w:firstRow="1" w:lastRow="0" w:firstColumn="1" w:lastColumn="0" w:noHBand="0" w:noVBand="1"/>
      </w:tblPr>
      <w:tblGrid>
        <w:gridCol w:w="852"/>
        <w:gridCol w:w="1134"/>
        <w:gridCol w:w="1134"/>
        <w:gridCol w:w="1134"/>
        <w:gridCol w:w="2126"/>
        <w:gridCol w:w="2126"/>
      </w:tblGrid>
      <w:tr w:rsidR="00A71AD1" w14:paraId="5B521BE3" w14:textId="270BBC13" w:rsidTr="00A71AD1">
        <w:tc>
          <w:tcPr>
            <w:tcW w:w="852" w:type="dxa"/>
          </w:tcPr>
          <w:p w14:paraId="783C2486" w14:textId="77777777" w:rsidR="00A71AD1" w:rsidRPr="00407AFF" w:rsidRDefault="00A71AD1" w:rsidP="005D73D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1134" w:type="dxa"/>
          </w:tcPr>
          <w:p w14:paraId="32E52ECA" w14:textId="77777777" w:rsidR="00A71AD1" w:rsidRDefault="00A71AD1" w:rsidP="005D73D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14:paraId="1D40D48D" w14:textId="77777777" w:rsidR="00A71AD1" w:rsidRDefault="00A71AD1" w:rsidP="005D73D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14:paraId="5B26DE8B" w14:textId="77777777" w:rsidR="00A71AD1" w:rsidRDefault="00A71AD1" w:rsidP="005D73D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14:paraId="7D34529C" w14:textId="77777777" w:rsidR="00A71AD1" w:rsidRDefault="00A71AD1" w:rsidP="005D73D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14:paraId="083AED49" w14:textId="6F207002" w:rsidR="00A71AD1" w:rsidRDefault="00A71AD1" w:rsidP="005D73D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2B527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A71AD1" w14:paraId="7507D568" w14:textId="57ADCED4" w:rsidTr="00A71AD1">
        <w:tc>
          <w:tcPr>
            <w:tcW w:w="852" w:type="dxa"/>
          </w:tcPr>
          <w:p w14:paraId="7804BEFC" w14:textId="77777777" w:rsidR="00A71AD1" w:rsidRPr="00407AFF" w:rsidRDefault="00A71AD1" w:rsidP="005D73D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7AFF">
              <w:rPr>
                <w:rFonts w:ascii="Arial" w:hAnsi="Arial" w:cs="Arial"/>
                <w:b/>
                <w:sz w:val="24"/>
                <w:szCs w:val="24"/>
              </w:rPr>
              <w:t>Dalro</w:t>
            </w:r>
          </w:p>
        </w:tc>
        <w:tc>
          <w:tcPr>
            <w:tcW w:w="1134" w:type="dxa"/>
          </w:tcPr>
          <w:p w14:paraId="46D80801" w14:textId="77777777" w:rsidR="00A71AD1" w:rsidRDefault="00A71AD1" w:rsidP="00407AF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2 879</w:t>
            </w:r>
          </w:p>
        </w:tc>
        <w:tc>
          <w:tcPr>
            <w:tcW w:w="1134" w:type="dxa"/>
          </w:tcPr>
          <w:p w14:paraId="68B7F443" w14:textId="77777777" w:rsidR="00A71AD1" w:rsidRDefault="00A71AD1" w:rsidP="00407AF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15 067</w:t>
            </w:r>
          </w:p>
        </w:tc>
        <w:tc>
          <w:tcPr>
            <w:tcW w:w="1134" w:type="dxa"/>
          </w:tcPr>
          <w:p w14:paraId="7422AFBD" w14:textId="77777777" w:rsidR="00A71AD1" w:rsidRDefault="00A71AD1" w:rsidP="00407AF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23 437</w:t>
            </w:r>
          </w:p>
        </w:tc>
        <w:tc>
          <w:tcPr>
            <w:tcW w:w="2126" w:type="dxa"/>
          </w:tcPr>
          <w:p w14:paraId="71BCDA19" w14:textId="77777777" w:rsidR="00A71AD1" w:rsidRDefault="00A71AD1" w:rsidP="00407AF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25 900</w:t>
            </w:r>
          </w:p>
        </w:tc>
        <w:tc>
          <w:tcPr>
            <w:tcW w:w="2126" w:type="dxa"/>
          </w:tcPr>
          <w:p w14:paraId="41E47587" w14:textId="0635033D" w:rsidR="00A71AD1" w:rsidRDefault="00A71AD1" w:rsidP="00407AF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6 245</w:t>
            </w:r>
          </w:p>
        </w:tc>
      </w:tr>
      <w:tr w:rsidR="00A71AD1" w14:paraId="1EE3C8A4" w14:textId="747DA610" w:rsidTr="00A71AD1">
        <w:tc>
          <w:tcPr>
            <w:tcW w:w="852" w:type="dxa"/>
          </w:tcPr>
          <w:p w14:paraId="4892FF60" w14:textId="77777777" w:rsidR="00A71AD1" w:rsidRPr="00407AFF" w:rsidRDefault="00A71AD1" w:rsidP="005D73D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7AFF">
              <w:rPr>
                <w:rFonts w:ascii="Arial" w:hAnsi="Arial" w:cs="Arial"/>
                <w:b/>
                <w:sz w:val="24"/>
                <w:szCs w:val="24"/>
              </w:rPr>
              <w:t>T&amp;F</w:t>
            </w:r>
          </w:p>
        </w:tc>
        <w:tc>
          <w:tcPr>
            <w:tcW w:w="1134" w:type="dxa"/>
          </w:tcPr>
          <w:p w14:paraId="0971C932" w14:textId="77777777" w:rsidR="00A71AD1" w:rsidRDefault="00A71AD1" w:rsidP="005D73D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41 654</w:t>
            </w:r>
          </w:p>
        </w:tc>
        <w:tc>
          <w:tcPr>
            <w:tcW w:w="1134" w:type="dxa"/>
          </w:tcPr>
          <w:p w14:paraId="6D403B0F" w14:textId="77777777" w:rsidR="00A71AD1" w:rsidRDefault="00A71AD1" w:rsidP="005D73D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124 937</w:t>
            </w:r>
          </w:p>
        </w:tc>
        <w:tc>
          <w:tcPr>
            <w:tcW w:w="1134" w:type="dxa"/>
          </w:tcPr>
          <w:p w14:paraId="54269B9E" w14:textId="77777777" w:rsidR="00A71AD1" w:rsidRDefault="00A71AD1" w:rsidP="005D73D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116 854</w:t>
            </w:r>
          </w:p>
        </w:tc>
        <w:tc>
          <w:tcPr>
            <w:tcW w:w="2126" w:type="dxa"/>
          </w:tcPr>
          <w:p w14:paraId="682CEF43" w14:textId="77777777" w:rsidR="00A71AD1" w:rsidRDefault="00A71AD1" w:rsidP="005D73D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66 911(156 911)</w:t>
            </w:r>
          </w:p>
        </w:tc>
        <w:tc>
          <w:tcPr>
            <w:tcW w:w="2126" w:type="dxa"/>
          </w:tcPr>
          <w:p w14:paraId="1358B4D8" w14:textId="3ED23BBB" w:rsidR="00A71AD1" w:rsidRDefault="00A71AD1" w:rsidP="005D73D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220 999</w:t>
            </w:r>
          </w:p>
        </w:tc>
      </w:tr>
    </w:tbl>
    <w:p w14:paraId="2394F340" w14:textId="77777777" w:rsidR="002D6313" w:rsidRPr="006B015D" w:rsidRDefault="002D6313" w:rsidP="006B015D">
      <w:pPr>
        <w:jc w:val="both"/>
        <w:rPr>
          <w:rFonts w:ascii="Arial" w:hAnsi="Arial" w:cs="Arial"/>
          <w:sz w:val="24"/>
          <w:szCs w:val="24"/>
        </w:rPr>
      </w:pPr>
    </w:p>
    <w:p w14:paraId="2444B684" w14:textId="0DCB8D7D" w:rsidR="00D73A28" w:rsidRDefault="002B527B" w:rsidP="00D73A2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agreement with T&amp;F for the period 1 January 2022 - 31 </w:t>
      </w:r>
      <w:r w:rsidR="00B4244E">
        <w:rPr>
          <w:rFonts w:ascii="Arial" w:hAnsi="Arial" w:cs="Arial"/>
          <w:sz w:val="24"/>
          <w:szCs w:val="24"/>
        </w:rPr>
        <w:t>December 2024</w:t>
      </w:r>
      <w:r w:rsidR="002D6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make</w:t>
      </w:r>
      <w:r w:rsidR="004F52C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provision for the following income</w:t>
      </w:r>
      <w:r w:rsidR="00D73A28">
        <w:rPr>
          <w:rFonts w:ascii="Arial" w:hAnsi="Arial" w:cs="Arial"/>
          <w:sz w:val="24"/>
          <w:szCs w:val="24"/>
        </w:rPr>
        <w:t>:</w:t>
      </w:r>
    </w:p>
    <w:p w14:paraId="7B1ABEBD" w14:textId="4137B1B5" w:rsidR="00D73A28" w:rsidRPr="00B7018C" w:rsidRDefault="00D73A28" w:rsidP="00B7018C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annual </w:t>
      </w:r>
      <w:r w:rsidR="002B527B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% </w:t>
      </w:r>
      <w:r w:rsidR="00B7018C">
        <w:rPr>
          <w:rFonts w:ascii="Arial" w:hAnsi="Arial" w:cs="Arial"/>
          <w:sz w:val="24"/>
          <w:szCs w:val="24"/>
        </w:rPr>
        <w:t>royalt</w:t>
      </w:r>
      <w:r w:rsidR="002B527B">
        <w:rPr>
          <w:rFonts w:ascii="Arial" w:hAnsi="Arial" w:cs="Arial"/>
          <w:sz w:val="24"/>
          <w:szCs w:val="24"/>
        </w:rPr>
        <w:t>y fee</w:t>
      </w:r>
      <w:r w:rsidR="00B7018C">
        <w:rPr>
          <w:rFonts w:ascii="Arial" w:hAnsi="Arial" w:cs="Arial"/>
          <w:sz w:val="24"/>
          <w:szCs w:val="24"/>
        </w:rPr>
        <w:t xml:space="preserve"> payment</w:t>
      </w:r>
      <w:r w:rsidR="002B527B">
        <w:rPr>
          <w:rFonts w:ascii="Arial" w:hAnsi="Arial" w:cs="Arial"/>
          <w:sz w:val="24"/>
          <w:szCs w:val="24"/>
        </w:rPr>
        <w:t xml:space="preserve"> based on sale receipts</w:t>
      </w:r>
      <w:r w:rsidR="00B7018C">
        <w:rPr>
          <w:rFonts w:ascii="Arial" w:hAnsi="Arial" w:cs="Arial"/>
          <w:sz w:val="24"/>
          <w:szCs w:val="24"/>
        </w:rPr>
        <w:t xml:space="preserve"> (compared to the </w:t>
      </w:r>
      <w:r w:rsidR="002B527B">
        <w:rPr>
          <w:rFonts w:ascii="Arial" w:hAnsi="Arial" w:cs="Arial"/>
          <w:sz w:val="24"/>
          <w:szCs w:val="24"/>
        </w:rPr>
        <w:t>8</w:t>
      </w:r>
      <w:r w:rsidR="00B7018C">
        <w:rPr>
          <w:rFonts w:ascii="Arial" w:hAnsi="Arial" w:cs="Arial"/>
          <w:sz w:val="24"/>
          <w:szCs w:val="24"/>
        </w:rPr>
        <w:t xml:space="preserve">% of the previous agreement) </w:t>
      </w:r>
    </w:p>
    <w:p w14:paraId="4C14623A" w14:textId="2F081B9C" w:rsidR="00230F3F" w:rsidRDefault="00230F3F" w:rsidP="00230F3F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E15E3">
        <w:rPr>
          <w:rFonts w:ascii="Arial" w:hAnsi="Arial" w:cs="Arial"/>
          <w:sz w:val="24"/>
          <w:szCs w:val="24"/>
        </w:rPr>
        <w:t>n annual £</w:t>
      </w:r>
      <w:r w:rsidR="002B527B">
        <w:rPr>
          <w:rFonts w:ascii="Arial" w:hAnsi="Arial" w:cs="Arial"/>
          <w:sz w:val="24"/>
          <w:szCs w:val="24"/>
        </w:rPr>
        <w:t>2</w:t>
      </w:r>
      <w:r w:rsidR="00AE15E3">
        <w:rPr>
          <w:rFonts w:ascii="Arial" w:hAnsi="Arial" w:cs="Arial"/>
          <w:sz w:val="24"/>
          <w:szCs w:val="24"/>
        </w:rPr>
        <w:t> 0</w:t>
      </w:r>
      <w:r>
        <w:rPr>
          <w:rFonts w:ascii="Arial" w:hAnsi="Arial" w:cs="Arial"/>
          <w:sz w:val="24"/>
          <w:szCs w:val="24"/>
        </w:rPr>
        <w:t>00 journal/editorial expenses payment</w:t>
      </w:r>
      <w:r w:rsidR="006960BD" w:rsidRPr="006960BD">
        <w:rPr>
          <w:rFonts w:ascii="Arial" w:hAnsi="Arial" w:cs="Arial"/>
          <w:sz w:val="24"/>
          <w:szCs w:val="24"/>
        </w:rPr>
        <w:t>.</w:t>
      </w:r>
    </w:p>
    <w:p w14:paraId="6517FF3E" w14:textId="5F99D292" w:rsidR="000B5BCA" w:rsidRDefault="000B5BCA" w:rsidP="00230F3F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annual £1 000 towards copyediting for the Journal</w:t>
      </w:r>
    </w:p>
    <w:p w14:paraId="450937CB" w14:textId="6674F688" w:rsidR="006B015D" w:rsidRDefault="00230F3F" w:rsidP="00AE15E3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annual £</w:t>
      </w:r>
      <w:r w:rsidR="000B5BC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 000 SAHS conference sponsorship</w:t>
      </w:r>
    </w:p>
    <w:p w14:paraId="0DAE2FBB" w14:textId="1E13426C" w:rsidR="00E279D9" w:rsidRPr="00AE15E3" w:rsidRDefault="00E279D9" w:rsidP="00AE15E3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B5BCA">
        <w:rPr>
          <w:rFonts w:ascii="Arial" w:hAnsi="Arial" w:cs="Arial"/>
          <w:sz w:val="24"/>
          <w:szCs w:val="24"/>
        </w:rPr>
        <w:t xml:space="preserve"> biannual prize of £250 in the form of a book voucher</w:t>
      </w:r>
    </w:p>
    <w:p w14:paraId="6E69C943" w14:textId="77777777" w:rsidR="003E201F" w:rsidRDefault="003E201F" w:rsidP="001827E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6B5AEF3F" w14:textId="77777777" w:rsidR="006E73C1" w:rsidRPr="00BF03DE" w:rsidRDefault="006E73C1" w:rsidP="001827E9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BF03DE">
        <w:rPr>
          <w:rFonts w:ascii="Arial" w:hAnsi="Arial" w:cs="Arial"/>
          <w:b/>
          <w:sz w:val="24"/>
          <w:szCs w:val="24"/>
        </w:rPr>
        <w:t>SAHS membership</w:t>
      </w:r>
    </w:p>
    <w:tbl>
      <w:tblPr>
        <w:tblStyle w:val="TableGrid"/>
        <w:tblW w:w="4202" w:type="dxa"/>
        <w:tblInd w:w="-998" w:type="dxa"/>
        <w:tblLook w:val="04A0" w:firstRow="1" w:lastRow="0" w:firstColumn="1" w:lastColumn="0" w:noHBand="0" w:noVBand="1"/>
      </w:tblPr>
      <w:tblGrid>
        <w:gridCol w:w="1151"/>
        <w:gridCol w:w="1017"/>
        <w:gridCol w:w="1017"/>
        <w:gridCol w:w="1083"/>
      </w:tblGrid>
      <w:tr w:rsidR="00BE186B" w14:paraId="5E759B84" w14:textId="44A2F1C2" w:rsidTr="00BE186B">
        <w:tc>
          <w:tcPr>
            <w:tcW w:w="1151" w:type="dxa"/>
          </w:tcPr>
          <w:p w14:paraId="722A5629" w14:textId="77777777" w:rsidR="00BE186B" w:rsidRPr="00BF03DE" w:rsidRDefault="00BE186B" w:rsidP="001827E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31/12/16</w:t>
            </w:r>
          </w:p>
        </w:tc>
        <w:tc>
          <w:tcPr>
            <w:tcW w:w="1017" w:type="dxa"/>
          </w:tcPr>
          <w:p w14:paraId="5D384845" w14:textId="77777777" w:rsidR="00BE186B" w:rsidRDefault="00BE186B" w:rsidP="001827E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19/6/17</w:t>
            </w:r>
          </w:p>
        </w:tc>
        <w:tc>
          <w:tcPr>
            <w:tcW w:w="1017" w:type="dxa"/>
          </w:tcPr>
          <w:p w14:paraId="53397620" w14:textId="77777777" w:rsidR="00BE186B" w:rsidRDefault="00BE186B" w:rsidP="001827E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20/6/18</w:t>
            </w:r>
          </w:p>
        </w:tc>
        <w:tc>
          <w:tcPr>
            <w:tcW w:w="1017" w:type="dxa"/>
          </w:tcPr>
          <w:p w14:paraId="3A21678F" w14:textId="7A3D5C8D" w:rsidR="00BE186B" w:rsidRDefault="00BE186B" w:rsidP="001827E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</w:t>
            </w:r>
          </w:p>
        </w:tc>
      </w:tr>
      <w:tr w:rsidR="00BE186B" w14:paraId="73CCCEAF" w14:textId="2E8EA8C0" w:rsidTr="00BE186B">
        <w:tc>
          <w:tcPr>
            <w:tcW w:w="1151" w:type="dxa"/>
          </w:tcPr>
          <w:p w14:paraId="6D0354E2" w14:textId="77777777" w:rsidR="00BE186B" w:rsidRDefault="00BE186B" w:rsidP="001827E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017" w:type="dxa"/>
          </w:tcPr>
          <w:p w14:paraId="33DC5019" w14:textId="77777777" w:rsidR="00BE186B" w:rsidRDefault="00BE186B" w:rsidP="001827E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017" w:type="dxa"/>
          </w:tcPr>
          <w:p w14:paraId="25F99B70" w14:textId="77777777" w:rsidR="00BE186B" w:rsidRDefault="00BE186B" w:rsidP="001827E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017" w:type="dxa"/>
          </w:tcPr>
          <w:p w14:paraId="31EC9263" w14:textId="16ACF809" w:rsidR="00BE186B" w:rsidRDefault="00BE186B" w:rsidP="001827E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</w:tbl>
    <w:p w14:paraId="1321F5DB" w14:textId="77777777" w:rsidR="006E73C1" w:rsidRDefault="006E73C1" w:rsidP="001827E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18E183CA" w14:textId="09817A0A" w:rsidR="005B3167" w:rsidRPr="005B3167" w:rsidRDefault="00FC10E0" w:rsidP="005D73D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 Fees</w:t>
      </w:r>
      <w:r w:rsidR="005B3167">
        <w:rPr>
          <w:rFonts w:ascii="Arial" w:hAnsi="Arial" w:cs="Arial"/>
          <w:sz w:val="24"/>
          <w:szCs w:val="24"/>
        </w:rPr>
        <w:t xml:space="preserve">: </w:t>
      </w:r>
      <w:r w:rsidR="005B3167" w:rsidRPr="005B3167">
        <w:rPr>
          <w:rFonts w:ascii="Arial" w:hAnsi="Arial" w:cs="Arial"/>
          <w:b/>
          <w:sz w:val="24"/>
          <w:szCs w:val="24"/>
        </w:rPr>
        <w:t>R500</w:t>
      </w:r>
      <w:r w:rsidR="005B3167">
        <w:rPr>
          <w:rFonts w:ascii="Arial" w:hAnsi="Arial" w:cs="Arial"/>
          <w:b/>
          <w:sz w:val="24"/>
          <w:szCs w:val="24"/>
        </w:rPr>
        <w:t xml:space="preserve"> </w:t>
      </w:r>
      <w:r w:rsidR="00BC6E93">
        <w:rPr>
          <w:rFonts w:ascii="Arial" w:hAnsi="Arial" w:cs="Arial"/>
          <w:sz w:val="24"/>
          <w:szCs w:val="24"/>
        </w:rPr>
        <w:t xml:space="preserve">for </w:t>
      </w:r>
      <w:r w:rsidR="00BE186B">
        <w:rPr>
          <w:rFonts w:ascii="Arial" w:hAnsi="Arial" w:cs="Arial"/>
          <w:sz w:val="24"/>
          <w:szCs w:val="24"/>
        </w:rPr>
        <w:t>a</w:t>
      </w:r>
      <w:r w:rsidR="00BC6E93">
        <w:rPr>
          <w:rFonts w:ascii="Arial" w:hAnsi="Arial" w:cs="Arial"/>
          <w:sz w:val="24"/>
          <w:szCs w:val="24"/>
        </w:rPr>
        <w:t xml:space="preserve"> two-year cycle</w:t>
      </w:r>
      <w:r w:rsidR="004F52C2">
        <w:rPr>
          <w:rFonts w:ascii="Arial" w:hAnsi="Arial" w:cs="Arial"/>
          <w:sz w:val="24"/>
          <w:szCs w:val="24"/>
        </w:rPr>
        <w:t>. Next cycle will begin on 1 January 2023.</w:t>
      </w:r>
    </w:p>
    <w:p w14:paraId="1E899CD3" w14:textId="0E003DF4" w:rsidR="001D50E7" w:rsidRDefault="00471A77" w:rsidP="005D73D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B35BF4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35BF4">
        <w:rPr>
          <w:rFonts w:ascii="Arial" w:hAnsi="Arial" w:cs="Arial"/>
          <w:b/>
          <w:sz w:val="24"/>
          <w:szCs w:val="24"/>
        </w:rPr>
        <w:t>Fort Hare</w:t>
      </w:r>
      <w:r w:rsidR="005D73D7" w:rsidRPr="00BF03DE">
        <w:rPr>
          <w:rFonts w:ascii="Arial" w:hAnsi="Arial" w:cs="Arial"/>
          <w:b/>
          <w:sz w:val="24"/>
          <w:szCs w:val="24"/>
        </w:rPr>
        <w:t xml:space="preserve"> Conference</w:t>
      </w:r>
      <w:r w:rsidR="00494364">
        <w:rPr>
          <w:rFonts w:ascii="Arial" w:hAnsi="Arial" w:cs="Arial"/>
          <w:sz w:val="24"/>
          <w:szCs w:val="24"/>
        </w:rPr>
        <w:t xml:space="preserve">:  </w:t>
      </w:r>
    </w:p>
    <w:p w14:paraId="20520639" w14:textId="59869253" w:rsidR="005B3167" w:rsidRPr="005B3167" w:rsidRDefault="00494364" w:rsidP="005B316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94364">
        <w:rPr>
          <w:rFonts w:ascii="Arial" w:hAnsi="Arial" w:cs="Arial"/>
          <w:sz w:val="24"/>
          <w:szCs w:val="24"/>
        </w:rPr>
        <w:t>T</w:t>
      </w:r>
      <w:r w:rsidR="009330B8">
        <w:rPr>
          <w:rFonts w:ascii="Arial" w:hAnsi="Arial" w:cs="Arial"/>
          <w:sz w:val="24"/>
          <w:szCs w:val="24"/>
        </w:rPr>
        <w:t>he SAHS sponsored the conference</w:t>
      </w:r>
      <w:r w:rsidR="00471A77">
        <w:rPr>
          <w:rFonts w:ascii="Arial" w:hAnsi="Arial" w:cs="Arial"/>
          <w:sz w:val="24"/>
          <w:szCs w:val="24"/>
        </w:rPr>
        <w:t xml:space="preserve"> fees of 3</w:t>
      </w:r>
      <w:r w:rsidR="00B35BF4">
        <w:rPr>
          <w:rFonts w:ascii="Arial" w:hAnsi="Arial" w:cs="Arial"/>
          <w:sz w:val="24"/>
          <w:szCs w:val="24"/>
        </w:rPr>
        <w:t>4</w:t>
      </w:r>
      <w:r w:rsidRPr="00494364">
        <w:rPr>
          <w:rFonts w:ascii="Arial" w:hAnsi="Arial" w:cs="Arial"/>
          <w:sz w:val="24"/>
          <w:szCs w:val="24"/>
        </w:rPr>
        <w:t xml:space="preserve"> </w:t>
      </w:r>
      <w:r w:rsidR="00B12FF2" w:rsidRPr="00494364">
        <w:rPr>
          <w:rFonts w:ascii="Arial" w:hAnsi="Arial" w:cs="Arial"/>
          <w:sz w:val="24"/>
          <w:szCs w:val="24"/>
        </w:rPr>
        <w:t>postgraduate</w:t>
      </w:r>
      <w:r w:rsidR="00471A77">
        <w:rPr>
          <w:rFonts w:ascii="Arial" w:hAnsi="Arial" w:cs="Arial"/>
          <w:sz w:val="24"/>
          <w:szCs w:val="24"/>
        </w:rPr>
        <w:t xml:space="preserve"> students to the value of </w:t>
      </w:r>
      <w:r w:rsidR="00471A77" w:rsidRPr="00B4244E">
        <w:rPr>
          <w:rFonts w:ascii="Arial" w:hAnsi="Arial" w:cs="Arial"/>
          <w:b/>
          <w:bCs/>
          <w:sz w:val="24"/>
          <w:szCs w:val="24"/>
        </w:rPr>
        <w:t>R5</w:t>
      </w:r>
      <w:r w:rsidR="00B35BF4" w:rsidRPr="00B4244E">
        <w:rPr>
          <w:rFonts w:ascii="Arial" w:hAnsi="Arial" w:cs="Arial"/>
          <w:b/>
          <w:bCs/>
          <w:sz w:val="24"/>
          <w:szCs w:val="24"/>
        </w:rPr>
        <w:t>6</w:t>
      </w:r>
      <w:r w:rsidR="00471A77" w:rsidRPr="00B4244E">
        <w:rPr>
          <w:rFonts w:ascii="Arial" w:hAnsi="Arial" w:cs="Arial"/>
          <w:b/>
          <w:bCs/>
          <w:sz w:val="24"/>
          <w:szCs w:val="24"/>
        </w:rPr>
        <w:t xml:space="preserve"> </w:t>
      </w:r>
      <w:r w:rsidR="00B35BF4" w:rsidRPr="00B4244E">
        <w:rPr>
          <w:rFonts w:ascii="Arial" w:hAnsi="Arial" w:cs="Arial"/>
          <w:b/>
          <w:bCs/>
          <w:sz w:val="24"/>
          <w:szCs w:val="24"/>
        </w:rPr>
        <w:t>7</w:t>
      </w:r>
      <w:r w:rsidR="00471A77" w:rsidRPr="00B4244E">
        <w:rPr>
          <w:rFonts w:ascii="Arial" w:hAnsi="Arial" w:cs="Arial"/>
          <w:b/>
          <w:bCs/>
          <w:sz w:val="24"/>
          <w:szCs w:val="24"/>
        </w:rPr>
        <w:t>00</w:t>
      </w:r>
      <w:r w:rsidRPr="00494364">
        <w:rPr>
          <w:rFonts w:ascii="Arial" w:hAnsi="Arial" w:cs="Arial"/>
          <w:sz w:val="24"/>
          <w:szCs w:val="24"/>
        </w:rPr>
        <w:t>.</w:t>
      </w:r>
    </w:p>
    <w:p w14:paraId="05C57BB2" w14:textId="77777777" w:rsidR="0068047B" w:rsidRDefault="001D50E7" w:rsidP="001D50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 Ehlers</w:t>
      </w:r>
      <w:r w:rsidR="0068047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Treasurer SAHS</w:t>
      </w:r>
      <w:r w:rsidR="0068047B">
        <w:rPr>
          <w:rFonts w:ascii="Arial" w:hAnsi="Arial" w:cs="Arial"/>
          <w:sz w:val="24"/>
          <w:szCs w:val="24"/>
        </w:rPr>
        <w:t>)</w:t>
      </w:r>
    </w:p>
    <w:p w14:paraId="04271DFB" w14:textId="44099E1E" w:rsidR="001D50E7" w:rsidRDefault="007036D8" w:rsidP="001D50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35BF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June 20</w:t>
      </w:r>
      <w:r w:rsidR="00B35BF4">
        <w:rPr>
          <w:rFonts w:ascii="Arial" w:hAnsi="Arial" w:cs="Arial"/>
          <w:sz w:val="24"/>
          <w:szCs w:val="24"/>
        </w:rPr>
        <w:t>22</w:t>
      </w:r>
    </w:p>
    <w:p w14:paraId="6BB5D024" w14:textId="77777777" w:rsidR="008536A3" w:rsidRPr="001D50E7" w:rsidRDefault="008536A3" w:rsidP="001D50E7">
      <w:pPr>
        <w:jc w:val="both"/>
        <w:rPr>
          <w:rFonts w:ascii="Arial" w:hAnsi="Arial" w:cs="Arial"/>
          <w:sz w:val="24"/>
          <w:szCs w:val="24"/>
        </w:rPr>
      </w:pPr>
    </w:p>
    <w:sectPr w:rsidR="008536A3" w:rsidRPr="001D50E7" w:rsidSect="0008435C"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B16A" w14:textId="77777777" w:rsidR="0075654D" w:rsidRDefault="0075654D" w:rsidP="00C07E08">
      <w:pPr>
        <w:spacing w:after="0" w:line="240" w:lineRule="auto"/>
      </w:pPr>
      <w:r>
        <w:separator/>
      </w:r>
    </w:p>
  </w:endnote>
  <w:endnote w:type="continuationSeparator" w:id="0">
    <w:p w14:paraId="1FE60034" w14:textId="77777777" w:rsidR="0075654D" w:rsidRDefault="0075654D" w:rsidP="00C0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066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2E30BD" w14:textId="77777777" w:rsidR="00C07E08" w:rsidRDefault="00C07E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5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10BA2B" w14:textId="77777777" w:rsidR="00C07E08" w:rsidRDefault="00C07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614C" w14:textId="77777777" w:rsidR="0075654D" w:rsidRDefault="0075654D" w:rsidP="00C07E08">
      <w:pPr>
        <w:spacing w:after="0" w:line="240" w:lineRule="auto"/>
      </w:pPr>
      <w:r>
        <w:separator/>
      </w:r>
    </w:p>
  </w:footnote>
  <w:footnote w:type="continuationSeparator" w:id="0">
    <w:p w14:paraId="71F1F6AB" w14:textId="77777777" w:rsidR="0075654D" w:rsidRDefault="0075654D" w:rsidP="00C0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378"/>
    <w:multiLevelType w:val="hybridMultilevel"/>
    <w:tmpl w:val="F76A5B4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67631"/>
    <w:multiLevelType w:val="hybridMultilevel"/>
    <w:tmpl w:val="0A4429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1799"/>
    <w:multiLevelType w:val="hybridMultilevel"/>
    <w:tmpl w:val="FCCEFCF2"/>
    <w:lvl w:ilvl="0" w:tplc="1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D14EF"/>
    <w:multiLevelType w:val="hybridMultilevel"/>
    <w:tmpl w:val="7850032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3C3324"/>
    <w:multiLevelType w:val="hybridMultilevel"/>
    <w:tmpl w:val="62A2407E"/>
    <w:lvl w:ilvl="0" w:tplc="1C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 w15:restartNumberingAfterBreak="0">
    <w:nsid w:val="5D3F7911"/>
    <w:multiLevelType w:val="hybridMultilevel"/>
    <w:tmpl w:val="8A30ECC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A63585"/>
    <w:multiLevelType w:val="hybridMultilevel"/>
    <w:tmpl w:val="2CDE86B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3855781">
    <w:abstractNumId w:val="1"/>
  </w:num>
  <w:num w:numId="2" w16cid:durableId="2061783406">
    <w:abstractNumId w:val="6"/>
  </w:num>
  <w:num w:numId="3" w16cid:durableId="1857108418">
    <w:abstractNumId w:val="3"/>
  </w:num>
  <w:num w:numId="4" w16cid:durableId="610431558">
    <w:abstractNumId w:val="5"/>
  </w:num>
  <w:num w:numId="5" w16cid:durableId="870460409">
    <w:abstractNumId w:val="0"/>
  </w:num>
  <w:num w:numId="6" w16cid:durableId="1050223313">
    <w:abstractNumId w:val="4"/>
  </w:num>
  <w:num w:numId="7" w16cid:durableId="1067991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8A"/>
    <w:rsid w:val="000366AE"/>
    <w:rsid w:val="000836A2"/>
    <w:rsid w:val="0008435C"/>
    <w:rsid w:val="000B5BCA"/>
    <w:rsid w:val="000C4DC8"/>
    <w:rsid w:val="000C64F3"/>
    <w:rsid w:val="00142546"/>
    <w:rsid w:val="00162182"/>
    <w:rsid w:val="001710AE"/>
    <w:rsid w:val="00172449"/>
    <w:rsid w:val="001744D5"/>
    <w:rsid w:val="001827E9"/>
    <w:rsid w:val="00184C08"/>
    <w:rsid w:val="001A1EEA"/>
    <w:rsid w:val="001D50E7"/>
    <w:rsid w:val="001E1EA5"/>
    <w:rsid w:val="001E34D1"/>
    <w:rsid w:val="001F7D84"/>
    <w:rsid w:val="00230F3F"/>
    <w:rsid w:val="00262279"/>
    <w:rsid w:val="0027296B"/>
    <w:rsid w:val="002B527B"/>
    <w:rsid w:val="002C50DA"/>
    <w:rsid w:val="002D6313"/>
    <w:rsid w:val="002F2F7A"/>
    <w:rsid w:val="003239EC"/>
    <w:rsid w:val="00332EB2"/>
    <w:rsid w:val="003331B6"/>
    <w:rsid w:val="003347AF"/>
    <w:rsid w:val="003552AD"/>
    <w:rsid w:val="00356690"/>
    <w:rsid w:val="00370F25"/>
    <w:rsid w:val="003A45EC"/>
    <w:rsid w:val="003E028A"/>
    <w:rsid w:val="003E201F"/>
    <w:rsid w:val="003F7CA4"/>
    <w:rsid w:val="00401F84"/>
    <w:rsid w:val="004029EA"/>
    <w:rsid w:val="00407AFF"/>
    <w:rsid w:val="00431CAC"/>
    <w:rsid w:val="004418E7"/>
    <w:rsid w:val="004560E7"/>
    <w:rsid w:val="00467A12"/>
    <w:rsid w:val="00471A77"/>
    <w:rsid w:val="00483435"/>
    <w:rsid w:val="0048459B"/>
    <w:rsid w:val="00494364"/>
    <w:rsid w:val="004B3FDB"/>
    <w:rsid w:val="004B70C3"/>
    <w:rsid w:val="004F52C2"/>
    <w:rsid w:val="005B3167"/>
    <w:rsid w:val="005D55F3"/>
    <w:rsid w:val="005D73D7"/>
    <w:rsid w:val="005E4BE9"/>
    <w:rsid w:val="00611D43"/>
    <w:rsid w:val="00626030"/>
    <w:rsid w:val="00637A71"/>
    <w:rsid w:val="00650E8E"/>
    <w:rsid w:val="006746CC"/>
    <w:rsid w:val="006749CF"/>
    <w:rsid w:val="0068047B"/>
    <w:rsid w:val="006960BD"/>
    <w:rsid w:val="006B015D"/>
    <w:rsid w:val="006E2A97"/>
    <w:rsid w:val="006E73C1"/>
    <w:rsid w:val="006F4D78"/>
    <w:rsid w:val="007036D8"/>
    <w:rsid w:val="00717815"/>
    <w:rsid w:val="00740307"/>
    <w:rsid w:val="007423F5"/>
    <w:rsid w:val="00755D3D"/>
    <w:rsid w:val="0075654D"/>
    <w:rsid w:val="007569BA"/>
    <w:rsid w:val="00781B48"/>
    <w:rsid w:val="00796673"/>
    <w:rsid w:val="007A1248"/>
    <w:rsid w:val="007B56FE"/>
    <w:rsid w:val="007E51D7"/>
    <w:rsid w:val="007E6EAF"/>
    <w:rsid w:val="00850D20"/>
    <w:rsid w:val="008536A3"/>
    <w:rsid w:val="008B3D5D"/>
    <w:rsid w:val="008B72AE"/>
    <w:rsid w:val="008B764C"/>
    <w:rsid w:val="00904A9B"/>
    <w:rsid w:val="009215D4"/>
    <w:rsid w:val="009330B8"/>
    <w:rsid w:val="00940D73"/>
    <w:rsid w:val="009418A6"/>
    <w:rsid w:val="00956FB4"/>
    <w:rsid w:val="009750A0"/>
    <w:rsid w:val="0099432F"/>
    <w:rsid w:val="009B5D40"/>
    <w:rsid w:val="00A00FB6"/>
    <w:rsid w:val="00A41BF8"/>
    <w:rsid w:val="00A45CD1"/>
    <w:rsid w:val="00A4754D"/>
    <w:rsid w:val="00A53DBD"/>
    <w:rsid w:val="00A630E6"/>
    <w:rsid w:val="00A64DBB"/>
    <w:rsid w:val="00A6723C"/>
    <w:rsid w:val="00A71AD1"/>
    <w:rsid w:val="00A95485"/>
    <w:rsid w:val="00AB6552"/>
    <w:rsid w:val="00AD03E3"/>
    <w:rsid w:val="00AE15E3"/>
    <w:rsid w:val="00AE219C"/>
    <w:rsid w:val="00AF0248"/>
    <w:rsid w:val="00B12FF2"/>
    <w:rsid w:val="00B35BF4"/>
    <w:rsid w:val="00B4244E"/>
    <w:rsid w:val="00B7018C"/>
    <w:rsid w:val="00B737FF"/>
    <w:rsid w:val="00B91E3A"/>
    <w:rsid w:val="00BB7F03"/>
    <w:rsid w:val="00BC5FC6"/>
    <w:rsid w:val="00BC6E93"/>
    <w:rsid w:val="00BE186B"/>
    <w:rsid w:val="00BF03DE"/>
    <w:rsid w:val="00C07E08"/>
    <w:rsid w:val="00C374B0"/>
    <w:rsid w:val="00C660C2"/>
    <w:rsid w:val="00C81B6A"/>
    <w:rsid w:val="00C95F63"/>
    <w:rsid w:val="00CB0CDF"/>
    <w:rsid w:val="00CB485E"/>
    <w:rsid w:val="00CE7B01"/>
    <w:rsid w:val="00D146FD"/>
    <w:rsid w:val="00D263A0"/>
    <w:rsid w:val="00D300B9"/>
    <w:rsid w:val="00D342BE"/>
    <w:rsid w:val="00D52FE1"/>
    <w:rsid w:val="00D7166D"/>
    <w:rsid w:val="00D73A28"/>
    <w:rsid w:val="00D84AB3"/>
    <w:rsid w:val="00D935C5"/>
    <w:rsid w:val="00DA7EAD"/>
    <w:rsid w:val="00DB1705"/>
    <w:rsid w:val="00DC12D0"/>
    <w:rsid w:val="00DD0938"/>
    <w:rsid w:val="00DD5E5D"/>
    <w:rsid w:val="00DE14BE"/>
    <w:rsid w:val="00E279D9"/>
    <w:rsid w:val="00E37DC4"/>
    <w:rsid w:val="00E55A58"/>
    <w:rsid w:val="00E67478"/>
    <w:rsid w:val="00E73227"/>
    <w:rsid w:val="00E7453C"/>
    <w:rsid w:val="00E85C9E"/>
    <w:rsid w:val="00E9210F"/>
    <w:rsid w:val="00EA077D"/>
    <w:rsid w:val="00EA5F83"/>
    <w:rsid w:val="00EB2EFD"/>
    <w:rsid w:val="00EC557D"/>
    <w:rsid w:val="00EF0287"/>
    <w:rsid w:val="00F06146"/>
    <w:rsid w:val="00F07DB1"/>
    <w:rsid w:val="00F23C2C"/>
    <w:rsid w:val="00F37CD3"/>
    <w:rsid w:val="00F729A0"/>
    <w:rsid w:val="00F745F5"/>
    <w:rsid w:val="00F7766E"/>
    <w:rsid w:val="00F964B4"/>
    <w:rsid w:val="00FC10E0"/>
    <w:rsid w:val="00F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FAC944"/>
  <w15:docId w15:val="{1CB15479-054D-46A1-BBBE-AE59C3B0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08"/>
  </w:style>
  <w:style w:type="paragraph" w:styleId="Footer">
    <w:name w:val="footer"/>
    <w:basedOn w:val="Normal"/>
    <w:link w:val="FooterChar"/>
    <w:uiPriority w:val="99"/>
    <w:unhideWhenUsed/>
    <w:rsid w:val="00C07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08"/>
  </w:style>
  <w:style w:type="table" w:styleId="TableGrid">
    <w:name w:val="Table Grid"/>
    <w:basedOn w:val="TableNormal"/>
    <w:uiPriority w:val="59"/>
    <w:rsid w:val="005D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756C-BB54-4031-A7C4-DDEEC260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Ehlers, A, Dr [aehl@sun.ac.za]</cp:lastModifiedBy>
  <cp:revision>19</cp:revision>
  <cp:lastPrinted>2017-06-19T12:20:00Z</cp:lastPrinted>
  <dcterms:created xsi:type="dcterms:W3CDTF">2022-06-24T19:40:00Z</dcterms:created>
  <dcterms:modified xsi:type="dcterms:W3CDTF">2022-06-26T14:21:00Z</dcterms:modified>
</cp:coreProperties>
</file>